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EEBD" w14:textId="77777777" w:rsidR="00D31ACD" w:rsidRPr="00D31ACD" w:rsidRDefault="00D31ACD" w:rsidP="00D31ACD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/>
          <w:kern w:val="0"/>
          <w:sz w:val="21"/>
          <w:szCs w:val="21"/>
          <w:lang w:eastAsia="ru-RU"/>
          <w14:ligatures w14:val="none"/>
        </w:rPr>
      </w:pPr>
      <w:r w:rsidRPr="00D31ACD">
        <w:rPr>
          <w:rFonts w:ascii="Arial" w:eastAsia="Times New Roman" w:hAnsi="Arial" w:cs="Arial"/>
          <w:b/>
          <w:kern w:val="0"/>
          <w:sz w:val="21"/>
          <w:szCs w:val="21"/>
          <w:lang w:eastAsia="ru-RU"/>
          <w14:ligatures w14:val="none"/>
        </w:rPr>
        <w:t>Основные условия соглашения о новации, выносимые на утверждение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4417"/>
        <w:gridCol w:w="4418"/>
      </w:tblGrid>
      <w:tr w:rsidR="00D31ACD" w:rsidRPr="00D31ACD" w14:paraId="6500D6B9" w14:textId="77777777" w:rsidTr="00BE6268">
        <w:tc>
          <w:tcPr>
            <w:tcW w:w="4417" w:type="dxa"/>
            <w:vAlign w:val="center"/>
          </w:tcPr>
          <w:p w14:paraId="330B7458" w14:textId="77777777" w:rsidR="00D31ACD" w:rsidRPr="00D31ACD" w:rsidRDefault="00D31ACD" w:rsidP="00D31ACD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Стороны соглашения</w:t>
            </w:r>
          </w:p>
        </w:tc>
        <w:tc>
          <w:tcPr>
            <w:tcW w:w="4418" w:type="dxa"/>
            <w:vAlign w:val="center"/>
          </w:tcPr>
          <w:p w14:paraId="597B29D6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ООО «СОБИ-ЛИЗИНГ» (Должник) и ООО «ВОЛСТА» (Представитель владельцев облигаций)</w:t>
            </w:r>
          </w:p>
        </w:tc>
      </w:tr>
      <w:tr w:rsidR="00D31ACD" w:rsidRPr="00D31ACD" w14:paraId="3BBB53AA" w14:textId="77777777" w:rsidTr="00BE6268">
        <w:tc>
          <w:tcPr>
            <w:tcW w:w="4417" w:type="dxa"/>
            <w:vAlign w:val="center"/>
          </w:tcPr>
          <w:p w14:paraId="6C3A6B32" w14:textId="77777777" w:rsidR="00D31ACD" w:rsidRPr="00D31ACD" w:rsidRDefault="00D31ACD" w:rsidP="00D31ACD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Прекращаемые обязательства (Первоначальные обязательства)</w:t>
            </w:r>
          </w:p>
        </w:tc>
        <w:tc>
          <w:tcPr>
            <w:tcW w:w="4418" w:type="dxa"/>
            <w:vAlign w:val="center"/>
          </w:tcPr>
          <w:p w14:paraId="182F3DE6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обязательства по выплате купонного дохода за купонные периоды с десятого по семнадцатый, включительно;</w:t>
            </w:r>
          </w:p>
          <w:p w14:paraId="67666736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обязательства по частичному досрочному погашению в даты окончания купонных периодов с десятого по шестнадцатый, включительно;</w:t>
            </w:r>
          </w:p>
          <w:p w14:paraId="5E926778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обязательства по досрочному погашению по требованию владельцев, которые были предъявлены или основания для предъявления которых имеют место на дату заключения соглашения;</w:t>
            </w:r>
          </w:p>
          <w:p w14:paraId="3198532B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обязательства по выплате сумм неустоек и иных платежей в связи с просрочкой</w:t>
            </w:r>
          </w:p>
        </w:tc>
      </w:tr>
      <w:tr w:rsidR="00D31ACD" w:rsidRPr="00D31ACD" w14:paraId="331E964A" w14:textId="77777777" w:rsidTr="00BE6268">
        <w:tc>
          <w:tcPr>
            <w:tcW w:w="4417" w:type="dxa"/>
            <w:vAlign w:val="center"/>
          </w:tcPr>
          <w:p w14:paraId="1C857FB2" w14:textId="77777777" w:rsidR="00D31ACD" w:rsidRPr="00D31ACD" w:rsidRDefault="00D31ACD" w:rsidP="00D31ACD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Новое обязательство</w:t>
            </w:r>
          </w:p>
        </w:tc>
        <w:tc>
          <w:tcPr>
            <w:tcW w:w="4418" w:type="dxa"/>
            <w:vAlign w:val="center"/>
          </w:tcPr>
          <w:p w14:paraId="48808876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в расчете на 1 облигацию:</w:t>
            </w:r>
          </w:p>
          <w:p w14:paraId="05FFE492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основной долг в размере 210,00 рублей, погашаемый частями в даты окончания процентных периодов: с 13-го по 24-й – по 2,31 рубля, с 25-го по 36-й – по 6,72 рубля, с 37-го по 47-й – по 8,40 рубля, в дату окончания 48-го процентного периода (02.12.2030) – 9,24 рубля;</w:t>
            </w:r>
          </w:p>
          <w:p w14:paraId="44F07660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проценты на непогашенный остаток основного долга, выплачиваемые в дату окончания каждого процентного периода;</w:t>
            </w:r>
          </w:p>
          <w:p w14:paraId="57FA29B3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дополнительный доход в размере 30,44 рубля, выплачиваемый единовременно в дату окончания 12-го процентного периода (18.12.2027).</w:t>
            </w:r>
          </w:p>
        </w:tc>
      </w:tr>
      <w:tr w:rsidR="00D31ACD" w:rsidRPr="00D31ACD" w14:paraId="1C4C00E7" w14:textId="77777777" w:rsidTr="00BE6268">
        <w:tc>
          <w:tcPr>
            <w:tcW w:w="4417" w:type="dxa"/>
            <w:vAlign w:val="center"/>
          </w:tcPr>
          <w:p w14:paraId="37785BB1" w14:textId="77777777" w:rsidR="00D31ACD" w:rsidRPr="00D31ACD" w:rsidRDefault="00D31ACD" w:rsidP="00D31ACD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Процентные периоды</w:t>
            </w:r>
          </w:p>
        </w:tc>
        <w:tc>
          <w:tcPr>
            <w:tcW w:w="4418" w:type="dxa"/>
            <w:vAlign w:val="center"/>
          </w:tcPr>
          <w:p w14:paraId="1F6261BB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48 процентных периодов по 30 дней каждый начиная с 23.12.2026 по 02.12.2030, совпадающих с купонными периодами облигаций с 18-го по 65-й (см. формулировку решения по второму вопросу)</w:t>
            </w:r>
          </w:p>
        </w:tc>
      </w:tr>
      <w:tr w:rsidR="00D31ACD" w:rsidRPr="00D31ACD" w14:paraId="0E71F00B" w14:textId="77777777" w:rsidTr="00BE6268">
        <w:tc>
          <w:tcPr>
            <w:tcW w:w="4417" w:type="dxa"/>
            <w:vAlign w:val="center"/>
          </w:tcPr>
          <w:p w14:paraId="2ACB59B6" w14:textId="77777777" w:rsidR="00D31ACD" w:rsidRPr="00D31ACD" w:rsidRDefault="00D31ACD" w:rsidP="00D31ACD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Процентная ставка по новому заемному обязательству</w:t>
            </w:r>
          </w:p>
        </w:tc>
        <w:tc>
          <w:tcPr>
            <w:tcW w:w="4418" w:type="dxa"/>
            <w:vAlign w:val="center"/>
          </w:tcPr>
          <w:p w14:paraId="563D7302" w14:textId="77777777" w:rsidR="00D31ACD" w:rsidRPr="00D31ACD" w:rsidRDefault="00D31ACD" w:rsidP="00D31ACD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D31ACD">
              <w:rPr>
                <w:rFonts w:ascii="Arial" w:eastAsia="Calibri" w:hAnsi="Arial" w:cs="Arial"/>
                <w:color w:val="000000"/>
                <w:sz w:val="21"/>
                <w:szCs w:val="21"/>
              </w:rPr>
              <w:t>приравнивается к ключевой ставке Банка России, увеличенной на 1,25 процентного пункта, но не выше 15,25 % годовых</w:t>
            </w:r>
          </w:p>
        </w:tc>
      </w:tr>
    </w:tbl>
    <w:p w14:paraId="61F7FED9" w14:textId="77777777" w:rsidR="00D31ACD" w:rsidRDefault="00D31ACD"/>
    <w:sectPr w:rsidR="00D31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CD"/>
    <w:rsid w:val="003E46A4"/>
    <w:rsid w:val="00D3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8977E"/>
  <w15:chartTrackingRefBased/>
  <w15:docId w15:val="{04FA1994-448D-4F1B-885A-9D4BC85C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1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1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1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1A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1A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1A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1A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1A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1A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1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1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1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1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1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1A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1A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1A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1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1A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1ACD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D31AC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D3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1</cp:revision>
  <dcterms:created xsi:type="dcterms:W3CDTF">2026-10-07T16:30:00Z</dcterms:created>
  <dcterms:modified xsi:type="dcterms:W3CDTF">2026-10-07T16:30:00Z</dcterms:modified>
</cp:coreProperties>
</file>